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82"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                9.489,48</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276" w:lineRule="auto"/>
              <w:ind w:left="29"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Şahin Ali Mah. Emin Erişingil Cad. Nahita Center Hacı İhsan Akdoğan İş Merekzi C Blok No:88 Niğde Merkez</w:t>
            </w:r>
            <w:r w:rsidDel="00000000" w:rsidR="00000000" w:rsidRPr="00000000">
              <w:rPr>
                <w:rtl w:val="0"/>
              </w:rPr>
            </w:r>
          </w:p>
        </w:tc>
        <w:tc>
          <w:tcPr>
            <w:gridSpan w:val="3"/>
            <w:shd w:fill="auto" w:val="clear"/>
          </w:tcPr>
          <w:p w:rsidR="00000000" w:rsidDel="00000000" w:rsidP="00000000" w:rsidRDefault="00000000" w:rsidRPr="00000000" w14:paraId="0000018E">
            <w:pPr>
              <w:spacing w:line="276"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E Posta Adresi</w:t>
            </w:r>
            <w:r w:rsidDel="00000000" w:rsidR="00000000" w:rsidRPr="00000000">
              <w:rPr>
                <w:rtl w:val="0"/>
              </w:rPr>
            </w:r>
          </w:p>
        </w:tc>
        <w:tc>
          <w:tcPr>
            <w:gridSpan w:val="4"/>
            <w:shd w:fill="auto" w:val="clear"/>
          </w:tcPr>
          <w:p w:rsidR="00000000" w:rsidDel="00000000" w:rsidP="00000000" w:rsidRDefault="00000000" w:rsidRPr="00000000" w14:paraId="00000191">
            <w:pPr>
              <w:spacing w:line="276" w:lineRule="auto"/>
              <w:ind w:left="35"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basvuru@sncuygunluk.com</w:t>
            </w:r>
            <w:r w:rsidDel="00000000" w:rsidR="00000000" w:rsidRPr="00000000">
              <w:rPr>
                <w:rtl w:val="0"/>
              </w:rPr>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276" w:lineRule="auto"/>
              <w:ind w:left="29" w:firstLine="0"/>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05358337500</w:t>
            </w:r>
            <w:r w:rsidDel="00000000" w:rsidR="00000000" w:rsidRPr="00000000">
              <w:rPr>
                <w:rtl w:val="0"/>
              </w:rPr>
            </w:r>
          </w:p>
        </w:tc>
        <w:tc>
          <w:tcPr>
            <w:gridSpan w:val="3"/>
            <w:shd w:fill="auto" w:val="clear"/>
          </w:tcPr>
          <w:p w:rsidR="00000000" w:rsidDel="00000000" w:rsidP="00000000" w:rsidRDefault="00000000" w:rsidRPr="00000000" w14:paraId="0000019C">
            <w:pPr>
              <w:spacing w:line="276" w:lineRule="auto"/>
              <w:ind w:left="32" w:firstLine="0"/>
              <w:rPr>
                <w:rFonts w:ascii="Calibri" w:cs="Calibri" w:eastAsia="Calibri" w:hAnsi="Calibri"/>
                <w:sz w:val="17"/>
                <w:szCs w:val="17"/>
              </w:rPr>
            </w:pPr>
            <w:r w:rsidDel="00000000" w:rsidR="00000000" w:rsidRPr="00000000">
              <w:rPr>
                <w:rFonts w:ascii="Calibri" w:cs="Calibri" w:eastAsia="Calibri" w:hAnsi="Calibri"/>
                <w:sz w:val="16"/>
                <w:szCs w:val="16"/>
                <w:rtl w:val="0"/>
              </w:rPr>
              <w:t xml:space="preserve">IBAN No</w:t>
            </w:r>
            <w:r w:rsidDel="00000000" w:rsidR="00000000" w:rsidRPr="00000000">
              <w:rPr>
                <w:rtl w:val="0"/>
              </w:rPr>
            </w:r>
          </w:p>
        </w:tc>
        <w:tc>
          <w:tcPr>
            <w:gridSpan w:val="4"/>
            <w:shd w:fill="auto" w:val="clear"/>
          </w:tcPr>
          <w:p w:rsidR="00000000" w:rsidDel="00000000" w:rsidP="00000000" w:rsidRDefault="00000000" w:rsidRPr="00000000" w14:paraId="0000019F">
            <w:pPr>
              <w:spacing w:line="276"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TR02 0006 2001 4800 0006 2969 27</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4EmZMKltZGMuLBncuuWr1nB9NA==">CgMxLjA4AHIhMVFXODZRd1JVWTNMN3hybFNEbmliTC1lOEtScnJDRVU4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2024-12-29T17:55:00Z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