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TR63 0006 2001 4800 0006 2968 96</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tUE+XsmjGlmCJnGNnmplrDdTLg==">CgMxLjA4AHIhMVk2dTNkT3NFbnZTdGJya1Q2cUNRVnFQZWdvbjUyRHh5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2024-12-29T17:49:00Z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